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7D" w:rsidRDefault="00DC557D" w:rsidP="00DC557D">
      <w:pPr>
        <w:pStyle w:val="Heading1"/>
        <w:numPr>
          <w:ilvl w:val="0"/>
          <w:numId w:val="0"/>
        </w:numPr>
        <w:spacing w:before="240" w:after="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219C5" wp14:editId="780364E4">
                <wp:simplePos x="0" y="0"/>
                <wp:positionH relativeFrom="column">
                  <wp:posOffset>2731770</wp:posOffset>
                </wp:positionH>
                <wp:positionV relativeFrom="paragraph">
                  <wp:posOffset>137160</wp:posOffset>
                </wp:positionV>
                <wp:extent cx="2809875" cy="731520"/>
                <wp:effectExtent l="0" t="0" r="104775" b="876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6F58" w:rsidRDefault="00AE6F58" w:rsidP="00DC557D">
                            <w:pPr>
                              <w:pStyle w:val="BodyText"/>
                              <w:spacing w:before="120" w:after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DISPOSAL FACILITY AND</w:t>
                            </w:r>
                          </w:p>
                          <w:p w:rsidR="00AE6F58" w:rsidRPr="00D8095B" w:rsidRDefault="00AE6F58" w:rsidP="00AE6F58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PROPOSAL PRICE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pt;margin-top:10.8pt;width:221.2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" strokeweight="1.5pt">
                <v:shadow on="t" offset="6pt,6pt"/>
                <v:textbox>
                  <w:txbxContent>
                    <w:p w:rsidR="00AE6F58" w:rsidRDefault="00AE6F58" w:rsidP="00DC557D">
                      <w:pPr>
                        <w:pStyle w:val="BodyText"/>
                        <w:spacing w:before="120" w:after="0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DISPOSAL FACILITY AND</w:t>
                      </w:r>
                    </w:p>
                    <w:p w:rsidR="00AE6F58" w:rsidRPr="00D8095B" w:rsidRDefault="00AE6F58" w:rsidP="00AE6F58">
                      <w:pPr>
                        <w:pStyle w:val="BodyText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PROPOSAL PRICE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428639" wp14:editId="54241B3D">
            <wp:extent cx="2426335" cy="884555"/>
            <wp:effectExtent l="0" t="0" r="0" b="0"/>
            <wp:docPr id="1" name="Picture 1" descr="MIRA_TitleCase-PMS-356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A_TitleCase-PMS-356-Med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6570" r="1849" b="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7D" w:rsidRDefault="00DC557D" w:rsidP="009C402C">
      <w:pPr>
        <w:pStyle w:val="Heading1"/>
        <w:numPr>
          <w:ilvl w:val="0"/>
          <w:numId w:val="0"/>
        </w:numPr>
        <w:spacing w:before="120" w:after="60"/>
        <w:ind w:left="720"/>
        <w:jc w:val="left"/>
      </w:pPr>
    </w:p>
    <w:p w:rsidR="00DC557D" w:rsidRDefault="00DC557D" w:rsidP="00DC557D">
      <w:pPr>
        <w:pStyle w:val="Heading1"/>
        <w:jc w:val="left"/>
      </w:pPr>
      <w:r>
        <w:t>Pricing overview</w:t>
      </w:r>
    </w:p>
    <w:p w:rsidR="00DC557D" w:rsidRPr="00B96DF5" w:rsidRDefault="00DC557D" w:rsidP="00DC557D"/>
    <w:p w:rsidR="00DC557D" w:rsidRDefault="00DC557D" w:rsidP="00DC557D">
      <w:pPr>
        <w:pStyle w:val="BodyText"/>
      </w:pPr>
      <w:r>
        <w:t xml:space="preserve">In the following table(s), Proposer shall provide </w:t>
      </w:r>
      <w:r w:rsidRPr="00C73350">
        <w:t xml:space="preserve">the </w:t>
      </w:r>
      <w:r>
        <w:t xml:space="preserve">following information related to the Proposer’s </w:t>
      </w:r>
      <w:r w:rsidR="00CF7E70">
        <w:t>proposed price for the d</w:t>
      </w:r>
      <w:r w:rsidR="004134C6">
        <w:t>isposal of MSW diverted from the CSWS</w:t>
      </w:r>
      <w:r>
        <w:t xml:space="preserve"> </w:t>
      </w:r>
      <w:r w:rsidR="00CF7E70">
        <w:t xml:space="preserve">to </w:t>
      </w:r>
      <w:r>
        <w:t xml:space="preserve">the </w:t>
      </w:r>
      <w:r w:rsidR="004134C6">
        <w:t>Disposal Facility</w:t>
      </w:r>
      <w:r>
        <w:t>(ies) proposed  by the Proposer</w:t>
      </w:r>
      <w:r w:rsidR="00785F21">
        <w:t xml:space="preserve"> (if proposing more than one facility, Proposer should copy page two of this form for each Disposal Facility for which they are submitting a proposal)</w:t>
      </w:r>
      <w:r>
        <w:t>:</w:t>
      </w:r>
    </w:p>
    <w:p w:rsidR="00DC557D" w:rsidRDefault="00DC557D" w:rsidP="00DC557D">
      <w:pPr>
        <w:pStyle w:val="ListNumber"/>
      </w:pPr>
      <w:r>
        <w:t xml:space="preserve">The name of each Designated </w:t>
      </w:r>
      <w:r w:rsidR="004134C6">
        <w:t>Disposal Facility</w:t>
      </w:r>
      <w:r>
        <w:t xml:space="preserve"> (note:  each </w:t>
      </w:r>
      <w:r w:rsidR="004134C6">
        <w:t>Disposal Facility</w:t>
      </w:r>
      <w:r>
        <w:t xml:space="preserve"> listed on this Form must correspond with </w:t>
      </w:r>
      <w:r w:rsidR="004134C6">
        <w:t>Disposal Facility</w:t>
      </w:r>
      <w:r>
        <w:t xml:space="preserve"> information provided via The Disposal Facility Information Form (Proposal Form </w:t>
      </w:r>
      <w:r w:rsidR="00B31407">
        <w:t>3</w:t>
      </w:r>
      <w:r>
        <w:t>)).</w:t>
      </w:r>
    </w:p>
    <w:p w:rsidR="00DC557D" w:rsidRDefault="00DC557D" w:rsidP="00DC557D">
      <w:pPr>
        <w:pStyle w:val="ListNumber"/>
      </w:pPr>
      <w:r>
        <w:t xml:space="preserve">The distance from the CSWS RRF to the </w:t>
      </w:r>
      <w:r w:rsidR="00B129DD">
        <w:t>d</w:t>
      </w:r>
      <w:r>
        <w:t xml:space="preserve">esignated </w:t>
      </w:r>
      <w:r w:rsidR="004134C6">
        <w:t>Disposal Facility</w:t>
      </w:r>
      <w:r>
        <w:t xml:space="preserve"> </w:t>
      </w:r>
    </w:p>
    <w:p w:rsidR="003C41D2" w:rsidRDefault="00DC557D" w:rsidP="00DC557D">
      <w:pPr>
        <w:pStyle w:val="ListNumber"/>
      </w:pPr>
      <w:r>
        <w:t xml:space="preserve">The Disposal Price per ton for each ton of </w:t>
      </w:r>
      <w:r w:rsidR="004134C6">
        <w:t>MSW</w:t>
      </w:r>
      <w:r>
        <w:t xml:space="preserve"> that </w:t>
      </w:r>
      <w:r w:rsidR="00115CF0">
        <w:t>MIRA delivers to the designated Disposal Facility</w:t>
      </w:r>
      <w:r w:rsidR="003C41D2">
        <w:t xml:space="preserve"> in a Routine Diversion scenario (as described in Section 2.1 of the Request For Proposals (Section 1 of the RFP Package Documents)</w:t>
      </w:r>
    </w:p>
    <w:p w:rsidR="003C41D2" w:rsidRDefault="003C41D2" w:rsidP="003C41D2">
      <w:pPr>
        <w:pStyle w:val="ListNumber"/>
      </w:pPr>
      <w:r>
        <w:t xml:space="preserve">The Disposal Price per ton for each ton of MSW that MIRA delivers to the designated Disposal Facility in a </w:t>
      </w:r>
      <w:r w:rsidR="00FD32D1">
        <w:t xml:space="preserve">Catastrophic </w:t>
      </w:r>
      <w:r w:rsidR="006C1F02">
        <w:t xml:space="preserve">Interruption </w:t>
      </w:r>
      <w:r>
        <w:t>scenario (as described in Section 2.</w:t>
      </w:r>
      <w:r w:rsidR="00F56D1A">
        <w:t>2</w:t>
      </w:r>
      <w:r>
        <w:t xml:space="preserve"> of the Request For Proposals (Section 1 of the RFP Package Documents)</w:t>
      </w:r>
    </w:p>
    <w:p w:rsidR="003C41D2" w:rsidRDefault="003C41D2" w:rsidP="003C41D2">
      <w:pPr>
        <w:pStyle w:val="ListNumber"/>
      </w:pPr>
      <w:r>
        <w:t>The Disposal Price per ton for each ton of MSW that MIRA delivers to the designated Disposal Facility in a</w:t>
      </w:r>
      <w:r w:rsidR="006C1F02">
        <w:t xml:space="preserve">n Economic Wind Down </w:t>
      </w:r>
      <w:r>
        <w:t>scenario (as described in Section 2.</w:t>
      </w:r>
      <w:r w:rsidR="00F56D1A">
        <w:t xml:space="preserve">3 </w:t>
      </w:r>
      <w:r>
        <w:t>of the Request For Proposals (Section 1 of the RFP Package Documents)</w:t>
      </w:r>
    </w:p>
    <w:p w:rsidR="00004338" w:rsidRDefault="00004338" w:rsidP="00F56D1A">
      <w:pPr>
        <w:pStyle w:val="ListNumber"/>
        <w:numPr>
          <w:ilvl w:val="0"/>
          <w:numId w:val="0"/>
        </w:numPr>
        <w:ind w:left="1152" w:hanging="576"/>
        <w:rPr>
          <w:b/>
        </w:rPr>
      </w:pPr>
    </w:p>
    <w:p w:rsidR="003868D0" w:rsidRDefault="003868D0" w:rsidP="00F56D1A">
      <w:pPr>
        <w:pStyle w:val="ListNumber"/>
        <w:numPr>
          <w:ilvl w:val="0"/>
          <w:numId w:val="0"/>
        </w:numPr>
        <w:ind w:left="1152" w:hanging="576"/>
        <w:rPr>
          <w:b/>
        </w:rPr>
        <w:sectPr w:rsidR="003868D0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C557D" w:rsidRDefault="00DC557D" w:rsidP="00F44B26">
      <w:pPr>
        <w:pStyle w:val="Heading1"/>
        <w:spacing w:before="0" w:after="120"/>
        <w:jc w:val="left"/>
      </w:pPr>
      <w:r>
        <w:lastRenderedPageBreak/>
        <w:t>Proposed Disposal Facility Pricing Info</w:t>
      </w:r>
      <w:r w:rsidR="00004338">
        <w:t xml:space="preserve"> – Disposal Facility #___________________</w:t>
      </w:r>
    </w:p>
    <w:p w:rsidR="00004338" w:rsidRPr="00004338" w:rsidRDefault="00004338" w:rsidP="00AD7679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3"/>
        <w:gridCol w:w="5514"/>
        <w:gridCol w:w="6721"/>
      </w:tblGrid>
      <w:tr w:rsidR="008316E7" w:rsidRPr="00AC0450" w:rsidTr="00344FEF">
        <w:tc>
          <w:tcPr>
            <w:tcW w:w="383" w:type="dxa"/>
          </w:tcPr>
          <w:p w:rsidR="008316E7" w:rsidRDefault="008316E7" w:rsidP="00AE6F58">
            <w:pPr>
              <w:spacing w:before="120" w:after="120"/>
            </w:pPr>
            <w:r>
              <w:t>a.</w:t>
            </w:r>
          </w:p>
        </w:tc>
        <w:tc>
          <w:tcPr>
            <w:tcW w:w="5514" w:type="dxa"/>
            <w:shd w:val="clear" w:color="auto" w:fill="auto"/>
          </w:tcPr>
          <w:p w:rsidR="008316E7" w:rsidRPr="00AC0450" w:rsidRDefault="008316E7" w:rsidP="00AE6F5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t xml:space="preserve">Disposal Facility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t xml:space="preserve"> (identify)</w:t>
            </w:r>
          </w:p>
        </w:tc>
        <w:tc>
          <w:tcPr>
            <w:tcW w:w="6721" w:type="dxa"/>
            <w:shd w:val="clear" w:color="auto" w:fill="auto"/>
            <w:vAlign w:val="bottom"/>
          </w:tcPr>
          <w:p w:rsidR="008316E7" w:rsidRDefault="008316E7" w:rsidP="00AE6F5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16E7" w:rsidTr="00344FEF">
        <w:tc>
          <w:tcPr>
            <w:tcW w:w="383" w:type="dxa"/>
          </w:tcPr>
          <w:p w:rsidR="008316E7" w:rsidRDefault="008316E7" w:rsidP="00AE6F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5514" w:type="dxa"/>
            <w:shd w:val="clear" w:color="auto" w:fill="auto"/>
          </w:tcPr>
          <w:p w:rsidR="008316E7" w:rsidRPr="00F56D1A" w:rsidRDefault="00F44B26" w:rsidP="00F44B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6D1A">
              <w:rPr>
                <w:rFonts w:ascii="Arial" w:hAnsi="Arial" w:cs="Arial"/>
                <w:b/>
                <w:sz w:val="20"/>
                <w:szCs w:val="20"/>
              </w:rPr>
              <w:t>Disposal Facility Address</w:t>
            </w:r>
            <w:r w:rsidR="008316E7" w:rsidRPr="00F56D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21" w:type="dxa"/>
            <w:shd w:val="clear" w:color="auto" w:fill="auto"/>
            <w:vAlign w:val="bottom"/>
          </w:tcPr>
          <w:p w:rsidR="008316E7" w:rsidRDefault="008316E7" w:rsidP="00AE6F5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44B26" w:rsidRDefault="00F44B26" w:rsidP="00AE6F5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16E7" w:rsidRDefault="008316E7" w:rsidP="00F44B26">
      <w:pPr>
        <w:spacing w:before="60" w:after="6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78"/>
        <w:gridCol w:w="2766"/>
        <w:gridCol w:w="2766"/>
        <w:gridCol w:w="2766"/>
      </w:tblGrid>
      <w:tr w:rsidR="00004338" w:rsidRPr="00AC0450" w:rsidTr="00AD7679">
        <w:trPr>
          <w:trHeight w:val="934"/>
        </w:trPr>
        <w:tc>
          <w:tcPr>
            <w:tcW w:w="4878" w:type="dxa"/>
            <w:shd w:val="clear" w:color="auto" w:fill="auto"/>
          </w:tcPr>
          <w:p w:rsidR="00004338" w:rsidRPr="003079AA" w:rsidRDefault="00004338" w:rsidP="00AD7679">
            <w:pPr>
              <w:spacing w:after="240"/>
            </w:pPr>
          </w:p>
        </w:tc>
        <w:tc>
          <w:tcPr>
            <w:tcW w:w="2766" w:type="dxa"/>
          </w:tcPr>
          <w:p w:rsidR="00004338" w:rsidRPr="003079AA" w:rsidRDefault="00004338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 Routine Diver</w:t>
            </w:r>
            <w:r w:rsidR="00344FE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ion -Disposal Price Per Ton</w:t>
            </w:r>
          </w:p>
        </w:tc>
        <w:tc>
          <w:tcPr>
            <w:tcW w:w="2766" w:type="dxa"/>
          </w:tcPr>
          <w:p w:rsidR="00AD7679" w:rsidRDefault="00004338" w:rsidP="00AD7679">
            <w:pPr>
              <w:spacing w:before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 </w:t>
            </w:r>
            <w:r w:rsidR="00D012B8">
              <w:rPr>
                <w:rFonts w:ascii="Arial" w:hAnsi="Arial" w:cs="Arial"/>
                <w:b/>
                <w:sz w:val="20"/>
                <w:szCs w:val="20"/>
              </w:rPr>
              <w:t xml:space="preserve">Catastrophic Interruption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7679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</w:p>
          <w:p w:rsidR="00004338" w:rsidRDefault="00004338" w:rsidP="00AD7679">
            <w:pPr>
              <w:spacing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Disposal Price Per Ton</w:t>
            </w:r>
          </w:p>
        </w:tc>
        <w:tc>
          <w:tcPr>
            <w:tcW w:w="2766" w:type="dxa"/>
          </w:tcPr>
          <w:p w:rsidR="00004338" w:rsidRDefault="00004338" w:rsidP="00AD7679">
            <w:pPr>
              <w:spacing w:before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 </w:t>
            </w:r>
            <w:r w:rsidR="00AD7679">
              <w:rPr>
                <w:rFonts w:ascii="Arial" w:hAnsi="Arial" w:cs="Arial"/>
                <w:b/>
                <w:sz w:val="20"/>
                <w:szCs w:val="20"/>
              </w:rPr>
              <w:t>Economic wind-down –</w:t>
            </w:r>
          </w:p>
          <w:p w:rsidR="00AD7679" w:rsidRDefault="00AD7679" w:rsidP="00AD7679">
            <w:pPr>
              <w:spacing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Disposal Price Per Ton</w:t>
            </w:r>
          </w:p>
        </w:tc>
      </w:tr>
      <w:tr w:rsidR="003C41D2" w:rsidRPr="00AC0450" w:rsidTr="003C41D2">
        <w:tc>
          <w:tcPr>
            <w:tcW w:w="4878" w:type="dxa"/>
            <w:shd w:val="clear" w:color="auto" w:fill="auto"/>
          </w:tcPr>
          <w:p w:rsidR="003C41D2" w:rsidRPr="00F034C3" w:rsidRDefault="003C41D2" w:rsidP="00AD7679">
            <w:pPr>
              <w:spacing w:before="220"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period from July 1, 2018 – June 30, 2019 </w:t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41D2" w:rsidTr="003C41D2">
        <w:tc>
          <w:tcPr>
            <w:tcW w:w="4878" w:type="dxa"/>
            <w:shd w:val="clear" w:color="auto" w:fill="auto"/>
          </w:tcPr>
          <w:p w:rsidR="003C41D2" w:rsidRPr="00F034C3" w:rsidRDefault="003C41D2" w:rsidP="00AD7679">
            <w:pPr>
              <w:spacing w:before="220"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period from July 1, 2019 – June 30, 2020 </w:t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41D2" w:rsidTr="003C41D2">
        <w:tc>
          <w:tcPr>
            <w:tcW w:w="4878" w:type="dxa"/>
            <w:shd w:val="clear" w:color="auto" w:fill="auto"/>
          </w:tcPr>
          <w:p w:rsidR="003C41D2" w:rsidRPr="00F034C3" w:rsidRDefault="003C41D2" w:rsidP="00AD7679">
            <w:pPr>
              <w:spacing w:before="220"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period from July 1, 2020 – June 30, 2021 </w:t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41D2" w:rsidTr="003C41D2">
        <w:tc>
          <w:tcPr>
            <w:tcW w:w="4878" w:type="dxa"/>
            <w:shd w:val="clear" w:color="auto" w:fill="auto"/>
          </w:tcPr>
          <w:p w:rsidR="003C41D2" w:rsidRPr="00F034C3" w:rsidRDefault="003C41D2" w:rsidP="00AD7679">
            <w:pPr>
              <w:spacing w:before="220"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period from July 1, 2021 – June 30, 2022 </w:t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41D2" w:rsidTr="003C41D2">
        <w:tc>
          <w:tcPr>
            <w:tcW w:w="4878" w:type="dxa"/>
            <w:shd w:val="clear" w:color="auto" w:fill="auto"/>
          </w:tcPr>
          <w:p w:rsidR="003C41D2" w:rsidRPr="00F034C3" w:rsidRDefault="003C41D2" w:rsidP="00AD7679">
            <w:pPr>
              <w:spacing w:before="220"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period from July 1, 2022 – June 30, 2023 </w:t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41D2" w:rsidTr="003C41D2">
        <w:tc>
          <w:tcPr>
            <w:tcW w:w="4878" w:type="dxa"/>
            <w:shd w:val="clear" w:color="auto" w:fill="auto"/>
          </w:tcPr>
          <w:p w:rsidR="003C41D2" w:rsidRPr="00F034C3" w:rsidRDefault="003C41D2" w:rsidP="00AD7679">
            <w:pPr>
              <w:spacing w:before="220"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extension year 1 (7/1/2023 through 6/30/2024)</w:t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:rsidR="003C41D2" w:rsidRDefault="003C41D2" w:rsidP="00AD7679">
            <w:pPr>
              <w:spacing w:before="220" w:after="2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51ADA" w:rsidRPr="00344FEF" w:rsidRDefault="00A51ADA" w:rsidP="00AD7679">
      <w:pPr>
        <w:widowControl/>
        <w:autoSpaceDE/>
        <w:autoSpaceDN/>
        <w:adjustRightInd/>
        <w:rPr>
          <w:sz w:val="16"/>
          <w:szCs w:val="16"/>
        </w:rPr>
      </w:pPr>
    </w:p>
    <w:sectPr w:rsidR="00A51ADA" w:rsidRPr="00344FEF" w:rsidSect="002E2E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58" w:rsidRDefault="00AE6F58" w:rsidP="00B129DD">
      <w:r>
        <w:separator/>
      </w:r>
    </w:p>
  </w:endnote>
  <w:endnote w:type="continuationSeparator" w:id="0">
    <w:p w:rsidR="00AE6F58" w:rsidRDefault="00AE6F58" w:rsidP="00B1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58" w:rsidRDefault="00AE6F58" w:rsidP="00B129DD">
      <w:r>
        <w:separator/>
      </w:r>
    </w:p>
  </w:footnote>
  <w:footnote w:type="continuationSeparator" w:id="0">
    <w:p w:rsidR="00AE6F58" w:rsidRDefault="00AE6F58" w:rsidP="00B1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58" w:rsidRPr="00B129DD" w:rsidRDefault="00AE6F58" w:rsidP="00B129DD">
    <w:pPr>
      <w:pStyle w:val="Header"/>
      <w:jc w:val="right"/>
      <w:rPr>
        <w:rFonts w:ascii="Arial" w:hAnsi="Arial" w:cs="Arial"/>
      </w:rPr>
    </w:pPr>
    <w:r w:rsidRPr="00B129DD">
      <w:rPr>
        <w:rFonts w:ascii="Arial" w:hAnsi="Arial" w:cs="Arial"/>
      </w:rPr>
      <w:t xml:space="preserve">Proposal Form </w:t>
    </w:r>
    <w:r w:rsidR="00B31407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030035E"/>
    <w:lvl w:ilvl="0">
      <w:start w:val="1"/>
      <w:numFmt w:val="lowerLetter"/>
      <w:pStyle w:val="ListNumber"/>
      <w:lvlText w:val="(%1)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</w:rPr>
    </w:lvl>
  </w:abstractNum>
  <w:abstractNum w:abstractNumId="1">
    <w:nsid w:val="1BD56283"/>
    <w:multiLevelType w:val="hybridMultilevel"/>
    <w:tmpl w:val="8098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648"/>
    <w:multiLevelType w:val="hybridMultilevel"/>
    <w:tmpl w:val="635E83C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555B"/>
    <w:multiLevelType w:val="hybridMultilevel"/>
    <w:tmpl w:val="7652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B6362"/>
    <w:multiLevelType w:val="hybridMultilevel"/>
    <w:tmpl w:val="22DCC1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E9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91D61"/>
    <w:multiLevelType w:val="multilevel"/>
    <w:tmpl w:val="6AB64DE8"/>
    <w:lvl w:ilvl="0">
      <w:start w:val="1"/>
      <w:numFmt w:val="decimal"/>
      <w:pStyle w:val="Heading1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0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2.%3.%4.%5"/>
      <w:lvlJc w:val="left"/>
      <w:pPr>
        <w:tabs>
          <w:tab w:val="num" w:pos="7344"/>
        </w:tabs>
        <w:ind w:left="7344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92"/>
        </w:tabs>
        <w:ind w:left="7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92"/>
        </w:tabs>
        <w:ind w:left="7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7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92"/>
        </w:tabs>
        <w:ind w:left="7776" w:hanging="1584"/>
      </w:pPr>
      <w:rPr>
        <w:rFonts w:hint="default"/>
      </w:rPr>
    </w:lvl>
  </w:abstractNum>
  <w:abstractNum w:abstractNumId="6">
    <w:nsid w:val="67B965D4"/>
    <w:multiLevelType w:val="hybridMultilevel"/>
    <w:tmpl w:val="0164A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66826"/>
    <w:multiLevelType w:val="hybridMultilevel"/>
    <w:tmpl w:val="AE12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7D"/>
    <w:rsid w:val="000014BD"/>
    <w:rsid w:val="00004338"/>
    <w:rsid w:val="000555B5"/>
    <w:rsid w:val="000F5110"/>
    <w:rsid w:val="00115CF0"/>
    <w:rsid w:val="00122805"/>
    <w:rsid w:val="00171A8D"/>
    <w:rsid w:val="001C6049"/>
    <w:rsid w:val="001F3F20"/>
    <w:rsid w:val="00201E78"/>
    <w:rsid w:val="0023788A"/>
    <w:rsid w:val="0029377F"/>
    <w:rsid w:val="002E2EF3"/>
    <w:rsid w:val="003079AA"/>
    <w:rsid w:val="00344FEF"/>
    <w:rsid w:val="00347477"/>
    <w:rsid w:val="003868D0"/>
    <w:rsid w:val="003C41D2"/>
    <w:rsid w:val="003F1D1A"/>
    <w:rsid w:val="004134C6"/>
    <w:rsid w:val="004B40D1"/>
    <w:rsid w:val="005402BB"/>
    <w:rsid w:val="005A7035"/>
    <w:rsid w:val="005C61F5"/>
    <w:rsid w:val="005D4401"/>
    <w:rsid w:val="005D54BD"/>
    <w:rsid w:val="00604F2F"/>
    <w:rsid w:val="006407D6"/>
    <w:rsid w:val="00692D46"/>
    <w:rsid w:val="006C1F02"/>
    <w:rsid w:val="006D6656"/>
    <w:rsid w:val="00785F21"/>
    <w:rsid w:val="007E7212"/>
    <w:rsid w:val="008316E7"/>
    <w:rsid w:val="00834586"/>
    <w:rsid w:val="008813AF"/>
    <w:rsid w:val="008E6C5D"/>
    <w:rsid w:val="00977587"/>
    <w:rsid w:val="009864F5"/>
    <w:rsid w:val="009C402C"/>
    <w:rsid w:val="009F4DB7"/>
    <w:rsid w:val="00A1000F"/>
    <w:rsid w:val="00A16973"/>
    <w:rsid w:val="00A51ADA"/>
    <w:rsid w:val="00AA044F"/>
    <w:rsid w:val="00AA30D0"/>
    <w:rsid w:val="00AD4D31"/>
    <w:rsid w:val="00AD7679"/>
    <w:rsid w:val="00AE6F58"/>
    <w:rsid w:val="00B129DD"/>
    <w:rsid w:val="00B31407"/>
    <w:rsid w:val="00B5751A"/>
    <w:rsid w:val="00B604EB"/>
    <w:rsid w:val="00B80688"/>
    <w:rsid w:val="00BC57A1"/>
    <w:rsid w:val="00BE1F23"/>
    <w:rsid w:val="00C24A04"/>
    <w:rsid w:val="00C9762F"/>
    <w:rsid w:val="00CB1DE6"/>
    <w:rsid w:val="00CF7E70"/>
    <w:rsid w:val="00D012B8"/>
    <w:rsid w:val="00D15439"/>
    <w:rsid w:val="00D378E8"/>
    <w:rsid w:val="00D43D20"/>
    <w:rsid w:val="00D606A4"/>
    <w:rsid w:val="00D95CDE"/>
    <w:rsid w:val="00DC557D"/>
    <w:rsid w:val="00E26FA9"/>
    <w:rsid w:val="00E53EE2"/>
    <w:rsid w:val="00E747DB"/>
    <w:rsid w:val="00E76790"/>
    <w:rsid w:val="00F44B26"/>
    <w:rsid w:val="00F56D1A"/>
    <w:rsid w:val="00F70F59"/>
    <w:rsid w:val="00F710B0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5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6790"/>
    <w:pPr>
      <w:keepNext/>
      <w:numPr>
        <w:numId w:val="4"/>
      </w:numPr>
      <w:spacing w:before="360" w:after="240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E76790"/>
    <w:pPr>
      <w:keepNext/>
      <w:numPr>
        <w:ilvl w:val="1"/>
        <w:numId w:val="1"/>
      </w:numPr>
      <w:tabs>
        <w:tab w:val="center" w:pos="4680"/>
      </w:tabs>
      <w:suppressAutoHyphens/>
      <w:spacing w:after="240"/>
      <w:ind w:left="144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790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6790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C557D"/>
    <w:pPr>
      <w:widowControl/>
      <w:tabs>
        <w:tab w:val="left" w:pos="702"/>
        <w:tab w:val="center" w:pos="1440"/>
        <w:tab w:val="center" w:pos="4680"/>
      </w:tabs>
      <w:spacing w:after="240"/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DC557D"/>
    <w:rPr>
      <w:rFonts w:ascii="Arial" w:hAnsi="Arial"/>
      <w:szCs w:val="24"/>
    </w:rPr>
  </w:style>
  <w:style w:type="paragraph" w:customStyle="1" w:styleId="BodyText1">
    <w:name w:val="Body Text 1"/>
    <w:basedOn w:val="BodyText"/>
    <w:rsid w:val="00DC557D"/>
    <w:pPr>
      <w:tabs>
        <w:tab w:val="clear" w:pos="702"/>
        <w:tab w:val="clear" w:pos="1440"/>
        <w:tab w:val="clear" w:pos="4680"/>
      </w:tabs>
      <w:autoSpaceDE/>
      <w:autoSpaceDN/>
      <w:adjustRightInd/>
      <w:spacing w:before="240"/>
      <w:ind w:left="576"/>
    </w:pPr>
  </w:style>
  <w:style w:type="paragraph" w:styleId="ListNumber">
    <w:name w:val="List Number"/>
    <w:basedOn w:val="Normal"/>
    <w:rsid w:val="00DC557D"/>
    <w:pPr>
      <w:numPr>
        <w:numId w:val="5"/>
      </w:numPr>
      <w:spacing w:after="240"/>
      <w:jc w:val="both"/>
    </w:pPr>
    <w:rPr>
      <w:rFonts w:ascii="Arial" w:hAnsi="Arial"/>
      <w:sz w:val="20"/>
    </w:rPr>
  </w:style>
  <w:style w:type="character" w:styleId="CommentReference">
    <w:name w:val="annotation reference"/>
    <w:rsid w:val="00DC55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557D"/>
  </w:style>
  <w:style w:type="paragraph" w:styleId="Title">
    <w:name w:val="Title"/>
    <w:basedOn w:val="Normal"/>
    <w:next w:val="Normal"/>
    <w:link w:val="TitleChar"/>
    <w:qFormat/>
    <w:rsid w:val="00DC55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C557D"/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C5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2BB"/>
    <w:pPr>
      <w:ind w:left="720"/>
      <w:contextualSpacing/>
    </w:pPr>
  </w:style>
  <w:style w:type="paragraph" w:styleId="Header">
    <w:name w:val="header"/>
    <w:basedOn w:val="Normal"/>
    <w:link w:val="HeaderChar"/>
    <w:rsid w:val="00B12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9DD"/>
    <w:rPr>
      <w:sz w:val="24"/>
      <w:szCs w:val="24"/>
    </w:rPr>
  </w:style>
  <w:style w:type="paragraph" w:styleId="Footer">
    <w:name w:val="footer"/>
    <w:basedOn w:val="Normal"/>
    <w:link w:val="FooterChar"/>
    <w:rsid w:val="00B12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9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5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6790"/>
    <w:pPr>
      <w:keepNext/>
      <w:numPr>
        <w:numId w:val="4"/>
      </w:numPr>
      <w:spacing w:before="360" w:after="240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E76790"/>
    <w:pPr>
      <w:keepNext/>
      <w:numPr>
        <w:ilvl w:val="1"/>
        <w:numId w:val="1"/>
      </w:numPr>
      <w:tabs>
        <w:tab w:val="center" w:pos="4680"/>
      </w:tabs>
      <w:suppressAutoHyphens/>
      <w:spacing w:after="240"/>
      <w:ind w:left="144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790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6790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C557D"/>
    <w:pPr>
      <w:widowControl/>
      <w:tabs>
        <w:tab w:val="left" w:pos="702"/>
        <w:tab w:val="center" w:pos="1440"/>
        <w:tab w:val="center" w:pos="4680"/>
      </w:tabs>
      <w:spacing w:after="240"/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DC557D"/>
    <w:rPr>
      <w:rFonts w:ascii="Arial" w:hAnsi="Arial"/>
      <w:szCs w:val="24"/>
    </w:rPr>
  </w:style>
  <w:style w:type="paragraph" w:customStyle="1" w:styleId="BodyText1">
    <w:name w:val="Body Text 1"/>
    <w:basedOn w:val="BodyText"/>
    <w:rsid w:val="00DC557D"/>
    <w:pPr>
      <w:tabs>
        <w:tab w:val="clear" w:pos="702"/>
        <w:tab w:val="clear" w:pos="1440"/>
        <w:tab w:val="clear" w:pos="4680"/>
      </w:tabs>
      <w:autoSpaceDE/>
      <w:autoSpaceDN/>
      <w:adjustRightInd/>
      <w:spacing w:before="240"/>
      <w:ind w:left="576"/>
    </w:pPr>
  </w:style>
  <w:style w:type="paragraph" w:styleId="ListNumber">
    <w:name w:val="List Number"/>
    <w:basedOn w:val="Normal"/>
    <w:rsid w:val="00DC557D"/>
    <w:pPr>
      <w:numPr>
        <w:numId w:val="5"/>
      </w:numPr>
      <w:spacing w:after="240"/>
      <w:jc w:val="both"/>
    </w:pPr>
    <w:rPr>
      <w:rFonts w:ascii="Arial" w:hAnsi="Arial"/>
      <w:sz w:val="20"/>
    </w:rPr>
  </w:style>
  <w:style w:type="character" w:styleId="CommentReference">
    <w:name w:val="annotation reference"/>
    <w:rsid w:val="00DC55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557D"/>
  </w:style>
  <w:style w:type="paragraph" w:styleId="Title">
    <w:name w:val="Title"/>
    <w:basedOn w:val="Normal"/>
    <w:next w:val="Normal"/>
    <w:link w:val="TitleChar"/>
    <w:qFormat/>
    <w:rsid w:val="00DC55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C557D"/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C5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2BB"/>
    <w:pPr>
      <w:ind w:left="720"/>
      <w:contextualSpacing/>
    </w:pPr>
  </w:style>
  <w:style w:type="paragraph" w:styleId="Header">
    <w:name w:val="header"/>
    <w:basedOn w:val="Normal"/>
    <w:link w:val="HeaderChar"/>
    <w:rsid w:val="00B12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9DD"/>
    <w:rPr>
      <w:sz w:val="24"/>
      <w:szCs w:val="24"/>
    </w:rPr>
  </w:style>
  <w:style w:type="paragraph" w:styleId="Footer">
    <w:name w:val="footer"/>
    <w:basedOn w:val="Normal"/>
    <w:link w:val="FooterChar"/>
    <w:rsid w:val="00B12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DD0B-279C-45FA-8290-32EF27EC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340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Guzowski</dc:creator>
  <cp:lastModifiedBy>Roger Guzowski</cp:lastModifiedBy>
  <cp:revision>8</cp:revision>
  <cp:lastPrinted>2017-10-10T15:23:00Z</cp:lastPrinted>
  <dcterms:created xsi:type="dcterms:W3CDTF">2017-10-10T19:20:00Z</dcterms:created>
  <dcterms:modified xsi:type="dcterms:W3CDTF">2017-11-06T15:46:00Z</dcterms:modified>
</cp:coreProperties>
</file>